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306C7C" w:rsidRDefault="00FA4803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306C7C">
        <w:rPr>
          <w:rFonts w:ascii="Noor_Badr" w:hAnsi="Noor_Badr" w:cs="Noor_Badr"/>
          <w:sz w:val="32"/>
          <w:szCs w:val="32"/>
          <w:rtl/>
          <w:lang w:bidi="fa-IR"/>
        </w:rPr>
        <w:t>خارج اصول-جلسه چهلم-شنبه 17/ 9/ 97</w:t>
      </w:r>
    </w:p>
    <w:p w:rsidR="00FA4803" w:rsidRPr="00306C7C" w:rsidRDefault="00E95885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E95885" w:rsidRPr="00306C7C" w:rsidRDefault="00E95885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و البغي سائق إلى الحين.</w:t>
      </w:r>
    </w:p>
    <w:p w:rsidR="0041123F" w:rsidRPr="00306C7C" w:rsidRDefault="0041123F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حین: هلاکت</w:t>
      </w:r>
    </w:p>
    <w:p w:rsidR="00E95885" w:rsidRPr="00306C7C" w:rsidRDefault="00E95885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E95885" w:rsidRPr="00306C7C" w:rsidRDefault="00E91361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کلام در تنبیه سوم بود. عرض شد حکم اضطراری اقسامی دارد.اول  تیمم بود.بحث تیمم بعنوان یک حکم اضطراری بررسی شد.</w:t>
      </w:r>
    </w:p>
    <w:p w:rsidR="00EB7391" w:rsidRPr="00306C7C" w:rsidRDefault="00EB7391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اما قسم دوم(تقیه)</w:t>
      </w:r>
    </w:p>
    <w:p w:rsidR="00EB7391" w:rsidRPr="00306C7C" w:rsidRDefault="00EB7391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اگر نماز یا وضو یا هر تکلیفی بشکل اضطراری و تقیه ای اتیان شود، اعاده یا قضا دارد یا نه؟</w:t>
      </w:r>
    </w:p>
    <w:p w:rsidR="00EB7391" w:rsidRPr="00306C7C" w:rsidRDefault="00EB7391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چون بحث ما اصولی است، بحث مفصل لغوی از تقیه نداریم زیرا بحث</w:t>
      </w:r>
      <w:r w:rsidR="00350A01" w:rsidRPr="00306C7C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306C7C">
        <w:rPr>
          <w:rFonts w:ascii="Noor_Badr" w:hAnsi="Noor_Badr" w:cs="Noor_Badr"/>
          <w:sz w:val="32"/>
          <w:szCs w:val="32"/>
          <w:rtl/>
          <w:lang w:bidi="fa-IR"/>
        </w:rPr>
        <w:t xml:space="preserve"> فقهی است؛ به مقداری که برای اصول کافی است بحث می کنیم.</w:t>
      </w:r>
    </w:p>
    <w:p w:rsidR="00E00B61" w:rsidRPr="00306C7C" w:rsidRDefault="007E6DF0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مهم در این بحث، بررسی روایات است تا ببینیم آیا جایگاه تقیه خصوصا مداراتی، مانند تیمم اس</w:t>
      </w:r>
      <w:r w:rsidR="00350A01" w:rsidRPr="00306C7C">
        <w:rPr>
          <w:rFonts w:ascii="Noor_Badr" w:hAnsi="Noor_Badr" w:cs="Noor_Badr"/>
          <w:sz w:val="32"/>
          <w:szCs w:val="32"/>
          <w:rtl/>
          <w:lang w:bidi="fa-IR"/>
        </w:rPr>
        <w:t>ت یا نه،</w:t>
      </w:r>
      <w:r w:rsidRPr="00306C7C">
        <w:rPr>
          <w:rFonts w:ascii="Noor_Badr" w:hAnsi="Noor_Badr" w:cs="Noor_Badr"/>
          <w:sz w:val="32"/>
          <w:szCs w:val="32"/>
          <w:rtl/>
          <w:lang w:bidi="fa-IR"/>
        </w:rPr>
        <w:t xml:space="preserve"> تا از نظر ادله اثباتی رابطه آن را با ادله اولیه مشخص کنیم و با تحقیق مختار بیان شود.</w:t>
      </w:r>
    </w:p>
    <w:p w:rsidR="00E00B61" w:rsidRPr="00306C7C" w:rsidRDefault="00E00B61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روایات باب تقیه فراوان است لکن چهار طایفه از این روایات، اهمیت فتوایی دارند:</w:t>
      </w:r>
    </w:p>
    <w:p w:rsidR="000867C3" w:rsidRPr="00306C7C" w:rsidRDefault="00E00B61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1-</w:t>
      </w:r>
      <w:r w:rsidR="00415811" w:rsidRPr="00306C7C">
        <w:rPr>
          <w:rFonts w:ascii="Noor_Badr" w:hAnsi="Noor_Badr" w:cs="Noor_Badr"/>
          <w:sz w:val="32"/>
          <w:szCs w:val="32"/>
          <w:rtl/>
          <w:lang w:bidi="fa-IR"/>
        </w:rPr>
        <w:t xml:space="preserve">طایفه اول: </w:t>
      </w:r>
      <w:r w:rsidRPr="00306C7C">
        <w:rPr>
          <w:rFonts w:ascii="Noor_Badr" w:hAnsi="Noor_Badr" w:cs="Noor_Badr"/>
          <w:sz w:val="32"/>
          <w:szCs w:val="32"/>
          <w:rtl/>
          <w:lang w:bidi="fa-IR"/>
        </w:rPr>
        <w:t>روایاتی که می گویند هرکسی تقیه ر</w:t>
      </w:r>
      <w:r w:rsidR="000867C3" w:rsidRPr="00306C7C">
        <w:rPr>
          <w:rFonts w:ascii="Noor_Badr" w:hAnsi="Noor_Badr" w:cs="Noor_Badr"/>
          <w:sz w:val="32"/>
          <w:szCs w:val="32"/>
          <w:rtl/>
          <w:lang w:bidi="fa-IR"/>
        </w:rPr>
        <w:t>ا شعار خود قرار ندهد از ما نیست</w:t>
      </w:r>
      <w:r w:rsidR="00350A01" w:rsidRPr="00306C7C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3844F5" w:rsidRPr="00306C7C" w:rsidRDefault="000867C3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</w:p>
    <w:p w:rsidR="003844F5" w:rsidRPr="00306C7C" w:rsidRDefault="002C60ED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روایت امام صادق علیه السلام</w:t>
      </w:r>
    </w:p>
    <w:p w:rsidR="000867C3" w:rsidRPr="00306C7C" w:rsidRDefault="007E6DF0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lastRenderedPageBreak/>
        <w:t xml:space="preserve"> </w:t>
      </w:r>
      <w:r w:rsidR="000867C3" w:rsidRPr="00306C7C">
        <w:rPr>
          <w:rFonts w:ascii="Noor_Badr" w:hAnsi="Noor_Badr" w:cs="Noor_Badr"/>
          <w:sz w:val="32"/>
          <w:szCs w:val="32"/>
          <w:rtl/>
          <w:lang w:bidi="fa-IR"/>
        </w:rPr>
        <w:t>21384- 29-وَ بِهَذَا الْإِسْنَادِ قَالَ: قَالَ سَيِّدُنَا الصَّادِقُ ع عَلَيْكُمْ بِالتَّقِيَّةِ فَإِنَّهُ لَيْسَ مِنَّا- مَنْ لَمْ يَجْعَلْهَا شِعَارَهُ وَ دِثَارَهُ- مَعَ مَنْ يَأْمَنُهُ لِتَكُونَ سَجِيَّتَهُ مَعَ مَنْ يَحْذَرُهُ.</w:t>
      </w:r>
      <w:r w:rsidR="000867C3" w:rsidRPr="00306C7C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</w:p>
    <w:p w:rsidR="00BD4489" w:rsidRPr="00306C7C" w:rsidRDefault="00BD4489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دثار: محافظ</w:t>
      </w:r>
    </w:p>
    <w:p w:rsidR="00D65615" w:rsidRPr="00306C7C" w:rsidRDefault="00D65615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صحیحه ابی بصیر</w:t>
      </w:r>
    </w:p>
    <w:p w:rsidR="00571177" w:rsidRPr="00306C7C" w:rsidRDefault="00571177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21385- 30-أَحْمَدُ بْنُ مُحَمَّدِ بْنِ خَالِدٍ الْبَرْقِيُّ فِي الْمَحَاسِنِ عَنْ أَبِيهِ عَنْ حَمَّادِ بْنِ عِيسَى عَنْ سَمَاعَةَ بْنِ مِهْرَانَ عَنْ أَبِي بَصِيرٍ عَنْ أَبِي عَبْدِ اللَّهِ ع قَالَ: لَا خَيْرَ فِيمَنْ لَا تَقِيَّةَ لَهُ- وَ لَا إِيمَانَ لِمَنْ لَا تَقِيَّةَ لَهُ.</w:t>
      </w:r>
      <w:r w:rsidR="0086292A" w:rsidRPr="00306C7C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2"/>
      </w:r>
    </w:p>
    <w:p w:rsidR="00350A01" w:rsidRPr="00306C7C" w:rsidRDefault="00350A01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</w:p>
    <w:p w:rsidR="00415811" w:rsidRPr="00306C7C" w:rsidRDefault="00415811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2-طایفه دوم: روایاتی که دلالت دارند بر اینکه نماز با جماعت مخالفین ثواب زیادی دارد</w:t>
      </w:r>
      <w:r w:rsidR="00350A01" w:rsidRPr="00306C7C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9464E4" w:rsidRPr="00306C7C" w:rsidRDefault="009464E4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صحیحه حلبی</w:t>
      </w:r>
    </w:p>
    <w:p w:rsidR="009C0FFA" w:rsidRPr="00306C7C" w:rsidRDefault="009C0FFA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10720- 4-وَ عَنْ عَلِيِّ بْنِ إِبْرَاهِيمَ عَنْ أَبِيهِ عَنِ ابْنِ أَبِي عُمَيْرٍ عَنْ حَمَّادٍ عَنِ الْحَلَبِيِّ عَنْ أَبِي عَبْدِ اللَّهِ ع قَالَ: مَنْ صَلَّى مَعَهُمْ فِي الصَّفِّ الْأَوَّلِ- كَانَ كَمَنْ صَلَّى خَلْفَ رَسُولِ اللَّهِ ص.</w:t>
      </w:r>
      <w:r w:rsidRPr="00306C7C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3"/>
      </w:r>
    </w:p>
    <w:p w:rsidR="00350A01" w:rsidRPr="00306C7C" w:rsidRDefault="00350A01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AA4CE0" w:rsidRPr="00306C7C" w:rsidRDefault="00AA4CE0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3-طایفه سوم:</w:t>
      </w:r>
      <w:r w:rsidR="009047F4" w:rsidRPr="00306C7C">
        <w:rPr>
          <w:rFonts w:ascii="Noor_Badr" w:hAnsi="Noor_Badr" w:cs="Noor_Badr"/>
          <w:sz w:val="32"/>
          <w:szCs w:val="32"/>
          <w:rtl/>
          <w:lang w:bidi="fa-IR"/>
        </w:rPr>
        <w:t xml:space="preserve"> روایاتی که می گویند</w:t>
      </w:r>
      <w:r w:rsidRPr="00306C7C">
        <w:rPr>
          <w:rFonts w:ascii="Noor_Badr" w:hAnsi="Noor_Badr" w:cs="Noor_Badr"/>
          <w:sz w:val="32"/>
          <w:szCs w:val="32"/>
          <w:rtl/>
          <w:lang w:bidi="fa-IR"/>
        </w:rPr>
        <w:t xml:space="preserve"> اقتداء به اهل تسنن، مسقط قرائت است</w:t>
      </w:r>
      <w:r w:rsidR="00350A01" w:rsidRPr="00306C7C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9464E4" w:rsidRPr="00306C7C" w:rsidRDefault="00B7747E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موث</w:t>
      </w:r>
      <w:r w:rsidR="00C44C7F" w:rsidRPr="00306C7C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306C7C">
        <w:rPr>
          <w:rFonts w:ascii="Noor_Badr" w:hAnsi="Noor_Badr" w:cs="Noor_Badr"/>
          <w:sz w:val="32"/>
          <w:szCs w:val="32"/>
          <w:rtl/>
          <w:lang w:bidi="fa-IR"/>
        </w:rPr>
        <w:t>قه اسحاق بن عم</w:t>
      </w:r>
      <w:r w:rsidR="00C44C7F" w:rsidRPr="00306C7C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306C7C">
        <w:rPr>
          <w:rFonts w:ascii="Noor_Badr" w:hAnsi="Noor_Badr" w:cs="Noor_Badr"/>
          <w:sz w:val="32"/>
          <w:szCs w:val="32"/>
          <w:rtl/>
          <w:lang w:bidi="fa-IR"/>
        </w:rPr>
        <w:t>ار</w:t>
      </w:r>
    </w:p>
    <w:p w:rsidR="00B32745" w:rsidRPr="00306C7C" w:rsidRDefault="00B32745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10925- 4-وَ عَنْهُ عَنْ مُحَمَّدِ بْنِ الْحُصَيْنِ عَنْ مُحَمَّدِ بْنِ الْفُضَيْلِ عَنْ إِسْحَاقَ بْنِ عَمَّارٍ فِي حَدِيثٍ قَالَ: قُلْتُ لِأَبِي عَبْدِ اللَّهِ ع إِنِّي أَدْخُلُ الْمَسْجِدَ- فَأَجِدُ الْإِمَامَ قَدْ رَكَعَ وَ قَدْ رَكَعَ الْقَوْمُ- فَلَا يُمْكِنُنِي أَنْ أُؤَذِّنَ وَ أُقِيمَ أَوْ أُكَبِّرَ- فَقَالَ لِي فَإِذَا كَانَ ذَلِكَ- فَادْخُلْ مَعَهُمْ فِي الرَّكْعَةِ فَاعْتَدَّ بِهَا- فَإِنَّهَا مِنْ أَفْضَلِ رَكَعَاتِكَ</w:t>
      </w:r>
      <w:r w:rsidR="003B3EE6" w:rsidRPr="00306C7C">
        <w:rPr>
          <w:rFonts w:ascii="Noor_Badr" w:hAnsi="Noor_Badr" w:cs="Noor_Badr"/>
          <w:sz w:val="32"/>
          <w:szCs w:val="32"/>
          <w:rtl/>
          <w:lang w:bidi="fa-IR"/>
        </w:rPr>
        <w:t>...</w:t>
      </w:r>
      <w:r w:rsidR="003B3EE6" w:rsidRPr="00306C7C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4"/>
      </w:r>
    </w:p>
    <w:p w:rsidR="00571177" w:rsidRPr="00306C7C" w:rsidRDefault="002035FA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4-طلیفه چهارم: استحباب نماز با جماعت مخالفین وشر</w:t>
      </w:r>
      <w:r w:rsidR="003E4032" w:rsidRPr="00306C7C">
        <w:rPr>
          <w:rFonts w:ascii="Noor_Badr" w:hAnsi="Noor_Badr" w:cs="Noor_Badr"/>
          <w:sz w:val="32"/>
          <w:szCs w:val="32"/>
          <w:rtl/>
          <w:lang w:bidi="fa-IR"/>
        </w:rPr>
        <w:t>کت در تشییع جنازه و عیادت مریض</w:t>
      </w:r>
      <w:r w:rsidRPr="00306C7C">
        <w:rPr>
          <w:rFonts w:ascii="Noor_Badr" w:hAnsi="Noor_Badr" w:cs="Noor_Badr"/>
          <w:sz w:val="32"/>
          <w:szCs w:val="32"/>
          <w:rtl/>
          <w:lang w:bidi="fa-IR"/>
        </w:rPr>
        <w:t xml:space="preserve"> آنها</w:t>
      </w:r>
      <w:r w:rsidR="003E4032" w:rsidRPr="00306C7C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D82BC1" w:rsidRPr="00306C7C" w:rsidRDefault="00172F68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این طوایف از روایات دلالت دارند بر اینکه عمل انجام شده با تقیه مدارات</w:t>
      </w:r>
      <w:r w:rsidR="00D82BC1" w:rsidRPr="00306C7C">
        <w:rPr>
          <w:rFonts w:ascii="Noor_Badr" w:hAnsi="Noor_Badr" w:cs="Noor_Badr"/>
          <w:sz w:val="32"/>
          <w:szCs w:val="32"/>
          <w:rtl/>
          <w:lang w:bidi="fa-IR"/>
        </w:rPr>
        <w:t>ی، مجزی است و از اعاده و قضا کفایت می کند؛</w:t>
      </w:r>
    </w:p>
    <w:p w:rsidR="003E4032" w:rsidRPr="00306C7C" w:rsidRDefault="00172F68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 xml:space="preserve">لکن در مقابل این روایات، روایاتی دلالت دارند بر اینکه </w:t>
      </w:r>
      <w:r w:rsidR="00323AB1" w:rsidRPr="00306C7C">
        <w:rPr>
          <w:rFonts w:ascii="Noor_Badr" w:hAnsi="Noor_Badr" w:cs="Noor_Badr"/>
          <w:sz w:val="32"/>
          <w:szCs w:val="32"/>
          <w:rtl/>
          <w:lang w:bidi="fa-IR"/>
        </w:rPr>
        <w:t xml:space="preserve">مجزی نیست و </w:t>
      </w:r>
      <w:r w:rsidRPr="00306C7C">
        <w:rPr>
          <w:rFonts w:ascii="Noor_Badr" w:hAnsi="Noor_Badr" w:cs="Noor_Badr"/>
          <w:sz w:val="32"/>
          <w:szCs w:val="32"/>
          <w:rtl/>
          <w:lang w:bidi="fa-IR"/>
        </w:rPr>
        <w:t>کفایت نمی کند:</w:t>
      </w:r>
    </w:p>
    <w:p w:rsidR="00172F68" w:rsidRPr="00306C7C" w:rsidRDefault="00172F68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10911- 1-مُحَمَّدُ بْنُ الْحَسَنِ بِإِسْنَادِهِ عَنْ أَحْمَدَ بْنِ مُحَمَّدِ بْنِ عِيسَى عَنِ الْحَسَنِ بْنِ عَلِيِّ بْنِ يَقْطِينٍ عَنْ أَخِيهِ الْحُسَيْنِ بْنِ عَلِيِّ بْنِ يَقْطِينٍ عَنْ أَبِيهِ عَلِيِّ بْنِ يَقْطِينٍ قَالَ: سَأَلْتُ أَبَا الْحَسَنِ ع عَنِ الرَّجُلِ يُصَلِّي- خَلْفَ مَنْ لَا يَقْتَدِي بِصَلَاتِهِ- وَ الْإِمَامُ يَجْهَرُ بِالْقِرَاءَةِ- قَالَ اقْرَأْ لِنَفْسِكَ وَ إِنْ لَمْ تُسْمِعْ نَفْسَكَ فَلَا بَأْسَ.</w:t>
      </w:r>
      <w:r w:rsidR="00DC0BD9" w:rsidRPr="00306C7C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5"/>
      </w:r>
    </w:p>
    <w:p w:rsidR="000F2AFC" w:rsidRPr="00306C7C" w:rsidRDefault="000F2AFC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من لایقتدی بصلاته: یعنی کسی که صلاحیت امامت ندارد</w:t>
      </w:r>
      <w:r w:rsidR="00456957" w:rsidRPr="00306C7C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456957" w:rsidRPr="00306C7C" w:rsidRDefault="00456957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این روایت از جهت سند صحیحه و معتبر است لکن برخی آن را حمل کرده اند بر امامت عالم شیعه فاسق.</w:t>
      </w:r>
    </w:p>
    <w:p w:rsidR="00F5723B" w:rsidRPr="00306C7C" w:rsidRDefault="00012E23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روایت فقه الرضا(کتابی که منسوب به حضرت رضا علیه السلام است</w:t>
      </w:r>
      <w:r w:rsidR="00AC46D6" w:rsidRPr="00306C7C">
        <w:rPr>
          <w:rFonts w:ascii="Noor_Badr" w:hAnsi="Noor_Badr" w:cs="Noor_Badr"/>
          <w:sz w:val="32"/>
          <w:szCs w:val="32"/>
          <w:rtl/>
          <w:lang w:bidi="fa-IR"/>
        </w:rPr>
        <w:t>)</w:t>
      </w:r>
    </w:p>
    <w:p w:rsidR="00456957" w:rsidRPr="00306C7C" w:rsidRDefault="00456957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7243- 1 فِقْهُ الرِّضَا، ع وَ لَا تُصَلِّ خَلْفَ أَحَدٍ إِلَّا خَلْفَ رَجُلَيْنِ أَحَدُهُمَا مَنْ تَثِقُ بِهِ وَ تَدِينُ بِدِينِهِ وَ وَرَعِهِ وَ آخَرُ مَنْ تَتَّقِي سَيْفَهُ وَ سَوْطَهُ وَ شَرَّهُ وَ بَوَائِقَهُ.</w:t>
      </w:r>
      <w:r w:rsidRPr="00306C7C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6"/>
      </w:r>
      <w:r w:rsidRPr="00306C7C">
        <w:rPr>
          <w:rFonts w:ascii="Noor_Badr" w:hAnsi="Noor_Badr" w:cs="Noor_Badr"/>
          <w:sz w:val="32"/>
          <w:szCs w:val="32"/>
          <w:lang w:bidi="fa-IR"/>
        </w:rPr>
        <w:t>‌</w:t>
      </w:r>
    </w:p>
    <w:p w:rsidR="0036105C" w:rsidRPr="00306C7C" w:rsidRDefault="00CE6EE2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سوط: شلاق</w:t>
      </w:r>
    </w:p>
    <w:p w:rsidR="00456957" w:rsidRPr="00306C7C" w:rsidRDefault="006A24A7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بوائق: مصیبتهایی که ممکن است برای تو بوجود آورد.</w:t>
      </w:r>
    </w:p>
    <w:p w:rsidR="008B6C6E" w:rsidRPr="00306C7C" w:rsidRDefault="000962FB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البته این روایت اشاره به تقیه خوفی است که از مانحن فیه خارج است زیرا داخل در بحث ضرر است و مانحن فیه تقیه مداراتی است.</w:t>
      </w:r>
      <w:r w:rsidR="00E44373" w:rsidRPr="00306C7C">
        <w:rPr>
          <w:rFonts w:ascii="Noor_Badr" w:hAnsi="Noor_Badr" w:cs="Noor_Badr"/>
          <w:sz w:val="32"/>
          <w:szCs w:val="32"/>
          <w:rtl/>
          <w:lang w:bidi="fa-IR"/>
        </w:rPr>
        <w:t xml:space="preserve"> علاوه بر اینکه سند آن هم مشکل دار است زیرا از فقه الرضا نقل شده که منسوب به امام رضاست ولی محرز نیست.</w:t>
      </w:r>
    </w:p>
    <w:p w:rsidR="003810D7" w:rsidRPr="00306C7C" w:rsidRDefault="00156D6D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روایت</w:t>
      </w:r>
      <w:r w:rsidR="003810D7" w:rsidRPr="00306C7C">
        <w:rPr>
          <w:rFonts w:ascii="Noor_Badr" w:hAnsi="Noor_Badr" w:cs="Noor_Badr"/>
          <w:sz w:val="32"/>
          <w:szCs w:val="32"/>
          <w:rtl/>
          <w:lang w:bidi="fa-IR"/>
        </w:rPr>
        <w:t xml:space="preserve"> امام باقر علیه السلام</w:t>
      </w:r>
    </w:p>
    <w:p w:rsidR="006635DF" w:rsidRPr="00306C7C" w:rsidRDefault="006635DF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وَ قَدْ رُوِّينَا عَنْ أَبِي جَعْفَرٍ مُحَمَّدِ بْنِ عَلِيٍّ ص أَنَّهُ قَالَ لَا تُصَلُّوا خَلْفَ نَاصِبٍ وَ لَا كَرَامَةَ إِلَّا أَنْ تَخَافُوا عَلَى أَنْفُسِكُمْ أَنْ تُشْهَرُوا وَ يُشَارَ إِلَيْكُمْ فَصَلُّوا فِي بُيُوتِكُمْ ثُمَّ صَلُّوا مَعَهُمْ وَ اجْعَلُوا صَلَاتَكُمْ.</w:t>
      </w:r>
      <w:r w:rsidRPr="00306C7C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7"/>
      </w:r>
      <w:r w:rsidRPr="00306C7C">
        <w:rPr>
          <w:rFonts w:ascii="Noor_Badr" w:hAnsi="Noor_Badr" w:cs="Noor_Badr"/>
          <w:sz w:val="32"/>
          <w:szCs w:val="32"/>
          <w:lang w:bidi="fa-IR"/>
        </w:rPr>
        <w:t>‌</w:t>
      </w:r>
    </w:p>
    <w:p w:rsidR="00172F68" w:rsidRPr="00306C7C" w:rsidRDefault="00FB29FE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این روایت در مقام خوف است و ناصبی هم کافر و نجس است لذا ربطی به مانحن فیه ندارد زیرا مانحن فیه اولا تقیه مداراتی است و ثانیا نماز با جماعت اهل تسنن نه ناصبی؛ و روایت هم مرسله است.</w:t>
      </w:r>
    </w:p>
    <w:p w:rsidR="00EB7391" w:rsidRPr="00306C7C" w:rsidRDefault="00483B3C" w:rsidP="00306C7C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306C7C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EB7391" w:rsidRPr="00306C7C" w:rsidSect="00306C7C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21C" w:rsidRDefault="0015221C" w:rsidP="000867C3">
      <w:pPr>
        <w:spacing w:after="0" w:line="240" w:lineRule="auto"/>
      </w:pPr>
      <w:r>
        <w:separator/>
      </w:r>
    </w:p>
  </w:endnote>
  <w:endnote w:type="continuationSeparator" w:id="0">
    <w:p w:rsidR="0015221C" w:rsidRDefault="0015221C" w:rsidP="00086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21C" w:rsidRDefault="0015221C" w:rsidP="000867C3">
      <w:pPr>
        <w:spacing w:after="0" w:line="240" w:lineRule="auto"/>
      </w:pPr>
      <w:r>
        <w:separator/>
      </w:r>
    </w:p>
  </w:footnote>
  <w:footnote w:type="continuationSeparator" w:id="0">
    <w:p w:rsidR="0015221C" w:rsidRDefault="0015221C" w:rsidP="000867C3">
      <w:pPr>
        <w:spacing w:after="0" w:line="240" w:lineRule="auto"/>
      </w:pPr>
      <w:r>
        <w:continuationSeparator/>
      </w:r>
    </w:p>
  </w:footnote>
  <w:footnote w:id="1">
    <w:p w:rsidR="000867C3" w:rsidRPr="000867C3" w:rsidRDefault="000867C3" w:rsidP="000867C3">
      <w:pPr>
        <w:pStyle w:val="FootnoteText"/>
        <w:rPr>
          <w:sz w:val="24"/>
          <w:szCs w:val="24"/>
          <w:rtl/>
          <w:lang w:bidi="fa-IR"/>
        </w:rPr>
      </w:pPr>
      <w:r w:rsidRPr="000867C3">
        <w:rPr>
          <w:rStyle w:val="FootnoteReference"/>
          <w:sz w:val="24"/>
          <w:szCs w:val="24"/>
        </w:rPr>
        <w:footnoteRef/>
      </w:r>
      <w:r w:rsidRPr="000867C3">
        <w:rPr>
          <w:sz w:val="24"/>
          <w:szCs w:val="24"/>
        </w:rPr>
        <w:t xml:space="preserve"> </w:t>
      </w:r>
      <w:r w:rsidRPr="000867C3">
        <w:rPr>
          <w:rFonts w:hint="cs"/>
          <w:sz w:val="24"/>
          <w:szCs w:val="24"/>
          <w:rtl/>
          <w:lang w:bidi="fa-IR"/>
        </w:rPr>
        <w:t>وسائل الشيعة، ج‌16، ص: 212‌</w:t>
      </w:r>
    </w:p>
    <w:p w:rsidR="000867C3" w:rsidRPr="000867C3" w:rsidRDefault="000867C3" w:rsidP="000867C3">
      <w:pPr>
        <w:pStyle w:val="FootnoteText"/>
        <w:rPr>
          <w:sz w:val="24"/>
          <w:szCs w:val="24"/>
          <w:lang w:bidi="fa-IR"/>
        </w:rPr>
      </w:pPr>
      <w:r w:rsidRPr="000867C3">
        <w:rPr>
          <w:rFonts w:hint="cs"/>
          <w:sz w:val="24"/>
          <w:szCs w:val="24"/>
          <w:rtl/>
          <w:lang w:bidi="fa-IR"/>
        </w:rPr>
        <w:t>كتاب الأَمر بالمعروف و النهي عن المنكر و ما يلق به</w:t>
      </w:r>
      <w:r w:rsidRPr="000867C3">
        <w:rPr>
          <w:rFonts w:hint="cs"/>
          <w:sz w:val="24"/>
          <w:szCs w:val="24"/>
          <w:lang w:bidi="fa-IR"/>
        </w:rPr>
        <w:t>‌</w:t>
      </w:r>
    </w:p>
    <w:p w:rsidR="000867C3" w:rsidRPr="000867C3" w:rsidRDefault="000867C3" w:rsidP="000867C3">
      <w:pPr>
        <w:pStyle w:val="FootnoteText"/>
        <w:rPr>
          <w:sz w:val="24"/>
          <w:szCs w:val="24"/>
          <w:rtl/>
          <w:lang w:bidi="fa-IR"/>
        </w:rPr>
      </w:pPr>
      <w:r w:rsidRPr="000867C3">
        <w:rPr>
          <w:rFonts w:hint="cs"/>
          <w:sz w:val="24"/>
          <w:szCs w:val="24"/>
          <w:rtl/>
          <w:lang w:bidi="fa-IR"/>
        </w:rPr>
        <w:t>أَبْوَابُ الْأَمْرِ وَ النَّهْيِ وَ مَا يُنَاسِبُهُمَا</w:t>
      </w:r>
      <w:r w:rsidRPr="000867C3">
        <w:rPr>
          <w:rFonts w:hint="cs"/>
          <w:sz w:val="24"/>
          <w:szCs w:val="24"/>
          <w:lang w:bidi="fa-IR"/>
        </w:rPr>
        <w:t>‌</w:t>
      </w:r>
    </w:p>
    <w:p w:rsidR="000867C3" w:rsidRPr="0086292A" w:rsidRDefault="000867C3" w:rsidP="0086292A">
      <w:pPr>
        <w:pStyle w:val="FootnoteText"/>
        <w:rPr>
          <w:sz w:val="24"/>
          <w:szCs w:val="24"/>
          <w:rtl/>
          <w:lang w:bidi="fa-IR"/>
        </w:rPr>
      </w:pPr>
      <w:r w:rsidRPr="000867C3">
        <w:rPr>
          <w:rFonts w:hint="cs"/>
          <w:sz w:val="24"/>
          <w:szCs w:val="24"/>
          <w:rtl/>
          <w:lang w:bidi="fa-IR"/>
        </w:rPr>
        <w:t xml:space="preserve"> 24 بَابُ وُجُوبِ التَّقِيَّةِ مَعَ الْخَوْفِ إِلَى خُرُوجِ صَاحِبِ الزَّمَانِ ع</w:t>
      </w:r>
      <w:r w:rsidRPr="000867C3">
        <w:rPr>
          <w:rFonts w:hint="cs"/>
          <w:sz w:val="24"/>
          <w:szCs w:val="24"/>
          <w:lang w:bidi="fa-IR"/>
        </w:rPr>
        <w:t>‌</w:t>
      </w:r>
    </w:p>
  </w:footnote>
  <w:footnote w:id="2">
    <w:p w:rsidR="0086292A" w:rsidRPr="0086292A" w:rsidRDefault="0086292A">
      <w:pPr>
        <w:pStyle w:val="FootnoteText"/>
        <w:rPr>
          <w:sz w:val="24"/>
          <w:szCs w:val="24"/>
          <w:rtl/>
          <w:lang w:bidi="fa-IR"/>
        </w:rPr>
      </w:pPr>
      <w:r w:rsidRPr="0086292A">
        <w:rPr>
          <w:rStyle w:val="FootnoteReference"/>
          <w:sz w:val="24"/>
          <w:szCs w:val="24"/>
        </w:rPr>
        <w:footnoteRef/>
      </w:r>
      <w:r w:rsidRPr="0086292A">
        <w:rPr>
          <w:sz w:val="24"/>
          <w:szCs w:val="24"/>
        </w:rPr>
        <w:t xml:space="preserve"> </w:t>
      </w:r>
      <w:r w:rsidRPr="0086292A">
        <w:rPr>
          <w:rFonts w:hint="cs"/>
          <w:sz w:val="24"/>
          <w:szCs w:val="24"/>
          <w:rtl/>
        </w:rPr>
        <w:t>همان</w:t>
      </w:r>
    </w:p>
  </w:footnote>
  <w:footnote w:id="3">
    <w:p w:rsidR="009C0FFA" w:rsidRPr="009C0FFA" w:rsidRDefault="009C0FFA" w:rsidP="009C0FFA">
      <w:pPr>
        <w:pStyle w:val="FootnoteText"/>
        <w:rPr>
          <w:sz w:val="26"/>
          <w:szCs w:val="26"/>
          <w:lang w:bidi="fa-IR"/>
        </w:rPr>
      </w:pPr>
      <w:r w:rsidRPr="009C0FFA">
        <w:rPr>
          <w:rStyle w:val="FootnoteReference"/>
          <w:sz w:val="26"/>
          <w:szCs w:val="26"/>
        </w:rPr>
        <w:footnoteRef/>
      </w:r>
      <w:r w:rsidRPr="009C0FFA">
        <w:rPr>
          <w:sz w:val="26"/>
          <w:szCs w:val="26"/>
        </w:rPr>
        <w:t xml:space="preserve"> </w:t>
      </w:r>
      <w:r w:rsidRPr="009C0FFA">
        <w:rPr>
          <w:rFonts w:hint="cs"/>
          <w:sz w:val="26"/>
          <w:szCs w:val="26"/>
          <w:rtl/>
          <w:lang w:bidi="fa-IR"/>
        </w:rPr>
        <w:t>وسائل الشيعة، ج‌8، ص: 300‌</w:t>
      </w:r>
    </w:p>
    <w:p w:rsidR="00766216" w:rsidRDefault="00766216" w:rsidP="00AD5417">
      <w:pPr>
        <w:pStyle w:val="FootnoteText"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کتاب الصلاة-ابواب صلاة الجماعة</w:t>
      </w:r>
    </w:p>
    <w:p w:rsidR="00AD5417" w:rsidRPr="00AD5417" w:rsidRDefault="00AD5417" w:rsidP="00AD5417">
      <w:pPr>
        <w:pStyle w:val="FootnoteText"/>
        <w:rPr>
          <w:sz w:val="24"/>
          <w:szCs w:val="24"/>
          <w:rtl/>
          <w:lang w:bidi="fa-IR"/>
        </w:rPr>
      </w:pPr>
      <w:r w:rsidRPr="00AD5417">
        <w:rPr>
          <w:rFonts w:hint="cs"/>
          <w:sz w:val="24"/>
          <w:szCs w:val="24"/>
          <w:rtl/>
          <w:lang w:bidi="fa-IR"/>
        </w:rPr>
        <w:t xml:space="preserve"> 5 بَابُ اسْتِحْبَابِ حُضُورِ الْجَمَاعَةِ خَلْفَ مَنْ لَا يُقْتَدَى بِهِ لِلتَّقِيَّةِ وَ الْقِيَامِ فِي الصَّفِّ الْأَوَّلِ مَعَهُ</w:t>
      </w:r>
      <w:r w:rsidRPr="00AD5417">
        <w:rPr>
          <w:rFonts w:hint="cs"/>
          <w:sz w:val="24"/>
          <w:szCs w:val="24"/>
          <w:lang w:bidi="fa-IR"/>
        </w:rPr>
        <w:t>‌</w:t>
      </w:r>
    </w:p>
    <w:p w:rsidR="009C0FFA" w:rsidRDefault="009C0FFA">
      <w:pPr>
        <w:pStyle w:val="FootnoteText"/>
        <w:rPr>
          <w:rtl/>
          <w:lang w:bidi="fa-IR"/>
        </w:rPr>
      </w:pPr>
    </w:p>
  </w:footnote>
  <w:footnote w:id="4">
    <w:p w:rsidR="003B3EE6" w:rsidRPr="003B3EE6" w:rsidRDefault="003B3EE6" w:rsidP="003B3EE6">
      <w:pPr>
        <w:pStyle w:val="FootnoteText"/>
        <w:rPr>
          <w:sz w:val="24"/>
          <w:szCs w:val="24"/>
        </w:rPr>
      </w:pPr>
      <w:r w:rsidRPr="003B3EE6">
        <w:rPr>
          <w:rStyle w:val="FootnoteReference"/>
          <w:sz w:val="24"/>
          <w:szCs w:val="24"/>
        </w:rPr>
        <w:footnoteRef/>
      </w:r>
      <w:r w:rsidRPr="003B3EE6">
        <w:rPr>
          <w:sz w:val="24"/>
          <w:szCs w:val="24"/>
        </w:rPr>
        <w:t xml:space="preserve"> </w:t>
      </w:r>
      <w:r w:rsidRPr="003B3EE6">
        <w:rPr>
          <w:rFonts w:hint="cs"/>
          <w:sz w:val="24"/>
          <w:szCs w:val="24"/>
          <w:rtl/>
          <w:lang w:bidi="fa-IR"/>
        </w:rPr>
        <w:t>10925- 4-</w:t>
      </w:r>
      <w:r w:rsidR="00635D85">
        <w:rPr>
          <w:rFonts w:hint="cs"/>
          <w:sz w:val="24"/>
          <w:szCs w:val="24"/>
          <w:rtl/>
          <w:lang w:bidi="fa-IR"/>
        </w:rPr>
        <w:t xml:space="preserve"> </w:t>
      </w:r>
      <w:r w:rsidRPr="003B3EE6">
        <w:rPr>
          <w:rFonts w:hint="cs"/>
          <w:sz w:val="24"/>
          <w:szCs w:val="24"/>
          <w:rtl/>
          <w:lang w:bidi="fa-IR"/>
        </w:rPr>
        <w:t>وَ عَنْهُ عَنْ مُحَمَّدِ بْنِ الْحُصَيْنِ عَنْ مُحَمَّدِ بْنِ الْفُضَيْلِ عَنْ إِسْحَاقَ بْنِ عَمَّارٍ فِي حَدِيثٍ قَالَ: قُلْتُ لِأَبِي عَبْدِ اللَّهِ ع إِنِّي أَدْخُلُ الْمَسْجِدَ- فَأَجِدُ الْإِمَامَ قَدْ رَكَعَ وَ قَدْ رَكَعَ الْقَوْمُ- فَلَا يُمْكِنُنِي أَنْ أُؤَذِّنَ وَ أُقِيمَ أَوْ أُكَبِّرَ- فَقَالَ لِي فَإِذَا كَانَ ذَلِكَ- فَادْخُلْ مَعَهُمْ فِي الرَّكْعَةِ فَاعْتَدَّ بِهَا- فَإِنَّهَا مِنْ أَفْضَلِ رَكَعَاتِكَ- قَالَ إِسْحَاقُ</w:t>
      </w:r>
      <w:r w:rsidR="00635D85">
        <w:rPr>
          <w:rFonts w:hint="cs"/>
          <w:sz w:val="24"/>
          <w:szCs w:val="24"/>
          <w:rtl/>
          <w:lang w:bidi="fa-IR"/>
        </w:rPr>
        <w:t xml:space="preserve"> </w:t>
      </w:r>
      <w:r w:rsidRPr="003B3EE6">
        <w:rPr>
          <w:rFonts w:hint="cs"/>
          <w:sz w:val="24"/>
          <w:szCs w:val="24"/>
          <w:rtl/>
          <w:lang w:bidi="fa-IR"/>
        </w:rPr>
        <w:t xml:space="preserve"> فَفَعَلْتُ ثُمَّ انْصَرَفْتُ- فَإِذَا خَمْسَةٌ أَوْ سِتَّةٌ مِنْ جِيرَانِي- قَدْ قَامُوا إِلَيَّ مِنَ الْمَخْزُومِيِّينَ وَ الْأُمَوِيِّينَ- فَقَالُوا- جَزَاكَ اللَّهُ عَنْ نَفْسِكَ خَيْراً- فَقَدْ وَ اللَّهِ رَأَيْنَا خِلَافَ مَا ظَنَنَّا بِكَ وَ مَا قِيلَ فِيكَ- فَقُلْتُ وَ أَيُّ شَيْ‌ءٍ ذَاكَ- قَالُوا تَبِعْنَاكَ حِينَ قُمْتَ إِلَى الصَّلَاةِ- وَ نَحْنُ نَرَى أَنَّكَ لَا تَقْتَدِي بِالصَّلَاةِ مَعَنَا- فَقَدْ وَجَدْنَاكَ قَدِ اعْتَدَدْتَ بِالصَّلَاةِ مَعَنَا قَالَ فَعَلِمْتُ أَنَّ أَبَا عَبْدِ اللَّهِ ع- لَمْ يَأْمُرْنِي إِلَّا وَ هُوَ يَخَافُ عَلَيَّ هَذَا وَ شِبْهَهُ.</w:t>
      </w:r>
    </w:p>
    <w:p w:rsidR="00635D85" w:rsidRPr="00635D85" w:rsidRDefault="00635D85" w:rsidP="00635D85">
      <w:pPr>
        <w:pStyle w:val="FootnoteText"/>
        <w:rPr>
          <w:sz w:val="24"/>
          <w:szCs w:val="24"/>
          <w:rtl/>
          <w:lang w:bidi="fa-IR"/>
        </w:rPr>
      </w:pPr>
      <w:r w:rsidRPr="00635D85">
        <w:rPr>
          <w:rFonts w:hint="cs"/>
          <w:sz w:val="24"/>
          <w:szCs w:val="24"/>
          <w:rtl/>
          <w:lang w:bidi="fa-IR"/>
        </w:rPr>
        <w:t>همان</w:t>
      </w:r>
    </w:p>
    <w:p w:rsidR="003B3EE6" w:rsidRPr="00DC0BD9" w:rsidRDefault="00635D85" w:rsidP="00DC0BD9">
      <w:pPr>
        <w:pStyle w:val="FootnoteText"/>
        <w:rPr>
          <w:sz w:val="24"/>
          <w:szCs w:val="24"/>
          <w:rtl/>
          <w:lang w:bidi="fa-IR"/>
        </w:rPr>
      </w:pPr>
      <w:r w:rsidRPr="00635D85">
        <w:rPr>
          <w:rFonts w:hint="cs"/>
          <w:sz w:val="24"/>
          <w:szCs w:val="24"/>
          <w:rtl/>
          <w:lang w:bidi="fa-IR"/>
        </w:rPr>
        <w:t>«1» 34 بَابُ سُقُوطِ الْقِرَاءَةِ خَلْفَ مَنْ لَا يُقْتَدَى بِهِ مَعَ تَعَذُّرِهَا وَ الِاجْتِزَاءِ بِإِدْرَاكِ الرُّكُوعِ مَعَ شِدَّةِ التَّقِيَّةِ</w:t>
      </w:r>
      <w:r w:rsidRPr="00635D85">
        <w:rPr>
          <w:rFonts w:hint="cs"/>
          <w:sz w:val="24"/>
          <w:szCs w:val="24"/>
          <w:lang w:bidi="fa-IR"/>
        </w:rPr>
        <w:t>‌</w:t>
      </w:r>
    </w:p>
  </w:footnote>
  <w:footnote w:id="5">
    <w:p w:rsidR="00DC0BD9" w:rsidRPr="00DC0BD9" w:rsidRDefault="00DC0BD9">
      <w:pPr>
        <w:pStyle w:val="FootnoteText"/>
        <w:rPr>
          <w:sz w:val="24"/>
          <w:szCs w:val="24"/>
          <w:rtl/>
        </w:rPr>
      </w:pPr>
      <w:r w:rsidRPr="00DC0BD9">
        <w:rPr>
          <w:rStyle w:val="FootnoteReference"/>
          <w:sz w:val="24"/>
          <w:szCs w:val="24"/>
        </w:rPr>
        <w:footnoteRef/>
      </w:r>
      <w:r w:rsidRPr="00DC0BD9">
        <w:rPr>
          <w:sz w:val="24"/>
          <w:szCs w:val="24"/>
        </w:rPr>
        <w:t xml:space="preserve"> </w:t>
      </w:r>
      <w:r w:rsidRPr="00DC0BD9">
        <w:rPr>
          <w:rFonts w:hint="cs"/>
          <w:sz w:val="24"/>
          <w:szCs w:val="24"/>
          <w:rtl/>
        </w:rPr>
        <w:t>همان</w:t>
      </w:r>
    </w:p>
    <w:p w:rsidR="00DC0BD9" w:rsidRPr="00DC0BD9" w:rsidRDefault="00DC0BD9" w:rsidP="00DC0BD9">
      <w:pPr>
        <w:pStyle w:val="FootnoteText"/>
        <w:rPr>
          <w:sz w:val="24"/>
          <w:szCs w:val="24"/>
          <w:lang w:bidi="fa-IR"/>
        </w:rPr>
      </w:pPr>
      <w:r w:rsidRPr="00DC0BD9">
        <w:rPr>
          <w:rFonts w:hint="cs"/>
          <w:sz w:val="24"/>
          <w:szCs w:val="24"/>
          <w:rtl/>
          <w:lang w:bidi="fa-IR"/>
        </w:rPr>
        <w:t>«3» 33 بَابُ وُجُوبِ الْقِرَاءَةِ خَلْفَ مَنْ لَا يُقْتَدَى بِهِ وَ اسْتِحْبَابِ الْأَذَانِ وَ الْإِقَامَةِ وَ سُقُوطِ الْجَهْرِ وَ مَا يَتَعَذَّرُ مِنَ الْقِرَاءَةِ مَعَ التَّقِيَّةِ وَ أَنَّهُ يُجْزِي مِنْهُمَا مِثْلُ حَدِيثِ النَّفْسِ</w:t>
      </w:r>
      <w:r w:rsidRPr="00DC0BD9">
        <w:rPr>
          <w:rFonts w:hint="cs"/>
          <w:sz w:val="24"/>
          <w:szCs w:val="24"/>
          <w:lang w:bidi="fa-IR"/>
        </w:rPr>
        <w:t>‌</w:t>
      </w:r>
    </w:p>
    <w:p w:rsidR="00DC0BD9" w:rsidRDefault="00DC0BD9">
      <w:pPr>
        <w:pStyle w:val="FootnoteText"/>
        <w:rPr>
          <w:rtl/>
          <w:lang w:bidi="fa-IR"/>
        </w:rPr>
      </w:pPr>
    </w:p>
  </w:footnote>
  <w:footnote w:id="6">
    <w:p w:rsidR="00456957" w:rsidRPr="00456957" w:rsidRDefault="00456957" w:rsidP="00456957">
      <w:pPr>
        <w:pStyle w:val="FootnoteText"/>
        <w:rPr>
          <w:sz w:val="24"/>
          <w:szCs w:val="24"/>
        </w:rPr>
      </w:pPr>
      <w:r w:rsidRPr="00456957">
        <w:rPr>
          <w:rStyle w:val="FootnoteReference"/>
          <w:sz w:val="24"/>
          <w:szCs w:val="24"/>
        </w:rPr>
        <w:footnoteRef/>
      </w:r>
      <w:r w:rsidRPr="00456957">
        <w:rPr>
          <w:sz w:val="24"/>
          <w:szCs w:val="24"/>
        </w:rPr>
        <w:t xml:space="preserve"> </w:t>
      </w:r>
      <w:r w:rsidRPr="00456957">
        <w:rPr>
          <w:rFonts w:hint="cs"/>
          <w:sz w:val="24"/>
          <w:szCs w:val="24"/>
          <w:rtl/>
          <w:lang w:bidi="fa-IR"/>
        </w:rPr>
        <w:t>مستدرك الوسائل و مستنبط المسائل، ج‌6، ص: 462‌</w:t>
      </w:r>
    </w:p>
    <w:p w:rsidR="00456957" w:rsidRPr="006635DF" w:rsidRDefault="00456957" w:rsidP="006635DF">
      <w:pPr>
        <w:pStyle w:val="FootnoteText"/>
        <w:rPr>
          <w:sz w:val="24"/>
          <w:szCs w:val="24"/>
          <w:rtl/>
          <w:lang w:bidi="fa-IR"/>
        </w:rPr>
      </w:pPr>
      <w:r w:rsidRPr="00456957">
        <w:rPr>
          <w:rFonts w:hint="cs"/>
          <w:sz w:val="24"/>
          <w:szCs w:val="24"/>
          <w:rtl/>
          <w:lang w:bidi="fa-IR"/>
        </w:rPr>
        <w:t>9 بَابُ اشْتِرَاطِ كَوْنِ إِمَامِ الْجَمَاعَةِ مُؤْمِناً مُوَالِياً لِلْأَئِمَّةِ ع وَ عَدَمِ جَوَازِ الِاقْتِدَاءِ بِالْمُخَالِفِ فِي الِاعْتِقَادَاتِ الصَّحِيحَةِ الْأُصُولِيَّةِ إِلَّا لِتَقِيَّةٍ</w:t>
      </w:r>
      <w:r w:rsidRPr="00456957">
        <w:rPr>
          <w:rFonts w:hint="cs"/>
          <w:sz w:val="24"/>
          <w:szCs w:val="24"/>
        </w:rPr>
        <w:t>‌</w:t>
      </w:r>
    </w:p>
  </w:footnote>
  <w:footnote w:id="7">
    <w:p w:rsidR="006635DF" w:rsidRPr="006635DF" w:rsidRDefault="006635DF" w:rsidP="006635DF">
      <w:pPr>
        <w:pStyle w:val="FootnoteText"/>
        <w:rPr>
          <w:sz w:val="24"/>
          <w:szCs w:val="24"/>
          <w:rtl/>
        </w:rPr>
      </w:pPr>
      <w:r w:rsidRPr="006635DF">
        <w:rPr>
          <w:rStyle w:val="FootnoteReference"/>
          <w:sz w:val="24"/>
          <w:szCs w:val="24"/>
        </w:rPr>
        <w:footnoteRef/>
      </w:r>
      <w:r w:rsidRPr="006635DF">
        <w:rPr>
          <w:sz w:val="24"/>
          <w:szCs w:val="24"/>
        </w:rPr>
        <w:t xml:space="preserve"> </w:t>
      </w:r>
      <w:r>
        <w:rPr>
          <w:rFonts w:hint="cs"/>
          <w:sz w:val="24"/>
          <w:szCs w:val="24"/>
          <w:rtl/>
          <w:lang w:bidi="fa-IR"/>
        </w:rPr>
        <w:t>دعائم الإسلام، ج‌1، ص: 151-</w:t>
      </w:r>
      <w:r w:rsidRPr="006635DF">
        <w:rPr>
          <w:rFonts w:hint="cs"/>
          <w:sz w:val="24"/>
          <w:szCs w:val="24"/>
          <w:rtl/>
          <w:lang w:bidi="fa-IR"/>
        </w:rPr>
        <w:t>ذكر الإمامة</w:t>
      </w:r>
      <w:r w:rsidRPr="006635DF">
        <w:rPr>
          <w:rFonts w:hint="cs"/>
          <w:sz w:val="24"/>
          <w:szCs w:val="24"/>
        </w:rPr>
        <w:t>‌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803"/>
    <w:rsid w:val="00012E23"/>
    <w:rsid w:val="000867C3"/>
    <w:rsid w:val="000962FB"/>
    <w:rsid w:val="000F2AFC"/>
    <w:rsid w:val="001054F6"/>
    <w:rsid w:val="0015221C"/>
    <w:rsid w:val="00156D6D"/>
    <w:rsid w:val="00172F68"/>
    <w:rsid w:val="002035FA"/>
    <w:rsid w:val="002C60ED"/>
    <w:rsid w:val="00306C7C"/>
    <w:rsid w:val="00323AB1"/>
    <w:rsid w:val="00350A01"/>
    <w:rsid w:val="0036105C"/>
    <w:rsid w:val="003810D7"/>
    <w:rsid w:val="003844F5"/>
    <w:rsid w:val="003B3EE6"/>
    <w:rsid w:val="003C0919"/>
    <w:rsid w:val="003E4032"/>
    <w:rsid w:val="0041123F"/>
    <w:rsid w:val="00415811"/>
    <w:rsid w:val="00456957"/>
    <w:rsid w:val="00483B3C"/>
    <w:rsid w:val="00571177"/>
    <w:rsid w:val="005C7205"/>
    <w:rsid w:val="00635D85"/>
    <w:rsid w:val="006635DF"/>
    <w:rsid w:val="006A24A7"/>
    <w:rsid w:val="00755BEB"/>
    <w:rsid w:val="00766216"/>
    <w:rsid w:val="00785C24"/>
    <w:rsid w:val="007960FC"/>
    <w:rsid w:val="007E6DF0"/>
    <w:rsid w:val="0086292A"/>
    <w:rsid w:val="008B6C6E"/>
    <w:rsid w:val="009047F4"/>
    <w:rsid w:val="009464E4"/>
    <w:rsid w:val="009C0FFA"/>
    <w:rsid w:val="00AA4CE0"/>
    <w:rsid w:val="00AC46D6"/>
    <w:rsid w:val="00AD5417"/>
    <w:rsid w:val="00B32745"/>
    <w:rsid w:val="00B7747E"/>
    <w:rsid w:val="00BD4489"/>
    <w:rsid w:val="00C44C7F"/>
    <w:rsid w:val="00CE6EE2"/>
    <w:rsid w:val="00D55A40"/>
    <w:rsid w:val="00D65615"/>
    <w:rsid w:val="00D82BC1"/>
    <w:rsid w:val="00DC0BD9"/>
    <w:rsid w:val="00E00B61"/>
    <w:rsid w:val="00E44373"/>
    <w:rsid w:val="00E91361"/>
    <w:rsid w:val="00E95885"/>
    <w:rsid w:val="00EB7391"/>
    <w:rsid w:val="00F5723B"/>
    <w:rsid w:val="00FA4803"/>
    <w:rsid w:val="00FB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67C3"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67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67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67C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67C3"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67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67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67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52</cp:revision>
  <dcterms:created xsi:type="dcterms:W3CDTF">2018-12-31T06:31:00Z</dcterms:created>
  <dcterms:modified xsi:type="dcterms:W3CDTF">2020-08-23T04:10:00Z</dcterms:modified>
</cp:coreProperties>
</file>